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1BDD7" w14:textId="2FFF05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546F3E">
        <w:rPr>
          <w:b/>
          <w:noProof/>
          <w:sz w:val="24"/>
        </w:rPr>
        <w:t>4-bis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02E5E">
        <w:fldChar w:fldCharType="begin"/>
      </w:r>
      <w:r w:rsidR="00702E5E">
        <w:instrText xml:space="preserve"> DOCPROPERTY  Tdoc#  \* MERGEFORMAT </w:instrText>
      </w:r>
      <w:r w:rsidR="00702E5E">
        <w:fldChar w:fldCharType="separate"/>
      </w:r>
      <w:r w:rsidR="000A4450" w:rsidRPr="000A4450">
        <w:rPr>
          <w:b/>
          <w:noProof/>
          <w:sz w:val="28"/>
        </w:rPr>
        <w:t>R1-</w:t>
      </w:r>
      <w:r w:rsidR="00696DE2" w:rsidRPr="00696DE2">
        <w:rPr>
          <w:b/>
          <w:noProof/>
          <w:sz w:val="28"/>
        </w:rPr>
        <w:t>2103730</w:t>
      </w:r>
      <w:r w:rsidR="00702E5E">
        <w:rPr>
          <w:b/>
          <w:noProof/>
          <w:sz w:val="28"/>
        </w:rPr>
        <w:fldChar w:fldCharType="end"/>
      </w:r>
    </w:p>
    <w:p w14:paraId="4F3CCB0E" w14:textId="4DC3B485" w:rsidR="001E41F3" w:rsidRDefault="00FD42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46F3E">
          <w:rPr>
            <w:b/>
            <w:noProof/>
            <w:sz w:val="24"/>
          </w:rPr>
          <w:t>April</w:t>
        </w:r>
        <w:r w:rsidR="004568F0">
          <w:rPr>
            <w:b/>
            <w:noProof/>
            <w:sz w:val="24"/>
          </w:rPr>
          <w:t xml:space="preserve"> </w:t>
        </w:r>
        <w:r w:rsidR="00546F3E">
          <w:rPr>
            <w:b/>
            <w:noProof/>
            <w:sz w:val="24"/>
          </w:rPr>
          <w:t>1</w:t>
        </w:r>
        <w:r w:rsidR="004568F0">
          <w:rPr>
            <w:b/>
            <w:noProof/>
            <w:sz w:val="24"/>
          </w:rPr>
          <w:t>2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46F3E">
          <w:rPr>
            <w:b/>
            <w:noProof/>
            <w:sz w:val="24"/>
          </w:rPr>
          <w:t>20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  <w:r w:rsidR="004568F0">
          <w:rPr>
            <w:b/>
            <w:noProof/>
            <w:sz w:val="24"/>
          </w:rPr>
          <w:t>, 202</w:t>
        </w:r>
        <w:r w:rsidR="00546F3E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77777777" w:rsidR="001E41F3" w:rsidRPr="00410371" w:rsidRDefault="00FD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68F0">
                <w:rPr>
                  <w:b/>
                  <w:noProof/>
                  <w:sz w:val="28"/>
                </w:rPr>
                <w:t>3</w:t>
              </w:r>
            </w:fldSimple>
            <w:r w:rsidR="004568F0">
              <w:rPr>
                <w:b/>
                <w:noProof/>
                <w:sz w:val="28"/>
              </w:rPr>
              <w:t>6.213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1D46AA3C" w:rsidR="001E41F3" w:rsidRPr="00410371" w:rsidRDefault="00696DE2" w:rsidP="00696DE2">
            <w:pPr>
              <w:pStyle w:val="CRCoverPage"/>
              <w:spacing w:after="0"/>
              <w:jc w:val="center"/>
              <w:rPr>
                <w:noProof/>
              </w:rPr>
            </w:pPr>
            <w:r w:rsidRPr="00696DE2">
              <w:rPr>
                <w:b/>
                <w:noProof/>
                <w:sz w:val="28"/>
              </w:rPr>
              <w:t>1386</w:t>
            </w:r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FD42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8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2C923D28" w:rsidR="001E41F3" w:rsidRPr="00410371" w:rsidRDefault="00FD4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68F0">
                <w:rPr>
                  <w:b/>
                  <w:noProof/>
                  <w:sz w:val="28"/>
                </w:rPr>
                <w:t>v16.</w:t>
              </w:r>
              <w:r w:rsidR="00671CB6">
                <w:rPr>
                  <w:b/>
                  <w:noProof/>
                  <w:sz w:val="28"/>
                </w:rPr>
                <w:t>5</w:t>
              </w:r>
              <w:r w:rsidR="004568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7C313B3F" w:rsidR="001E41F3" w:rsidRDefault="00FD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8CE">
                <w:t>C</w:t>
              </w:r>
              <w:r w:rsidR="002D1AF3">
                <w:t>larification</w:t>
              </w:r>
              <w:r w:rsidR="007768CE">
                <w:t xml:space="preserve"> </w:t>
              </w:r>
              <w:r w:rsidR="007849C2">
                <w:t xml:space="preserve">on the UE transmit power for the 2-of-3 subcarrier allocation in sub-PRB </w:t>
              </w:r>
            </w:fldSimple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77777777" w:rsidR="001E41F3" w:rsidRDefault="00FD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8F0">
                <w:rPr>
                  <w:noProof/>
                </w:rPr>
                <w:t>Ericsson</w:t>
              </w:r>
            </w:fldSimple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77777777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77777777" w:rsidR="001E41F3" w:rsidRDefault="00FD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68F0">
                <w:rPr>
                  <w:noProof/>
                </w:rPr>
                <w:t>LTE_eMTC</w:t>
              </w:r>
              <w:r w:rsidR="007768CE">
                <w:rPr>
                  <w:noProof/>
                </w:rPr>
                <w:t>4</w:t>
              </w:r>
              <w:r w:rsidR="004568F0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62AD6F33" w:rsidR="001E41F3" w:rsidRDefault="00FD4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CE">
                <w:rPr>
                  <w:noProof/>
                </w:rPr>
                <w:t>202</w:t>
              </w:r>
              <w:r w:rsidR="007849C2">
                <w:rPr>
                  <w:noProof/>
                </w:rPr>
                <w:t>1</w:t>
              </w:r>
              <w:r w:rsidR="007768CE">
                <w:rPr>
                  <w:noProof/>
                </w:rPr>
                <w:t>-0</w:t>
              </w:r>
              <w:r w:rsidR="007849C2">
                <w:rPr>
                  <w:noProof/>
                </w:rPr>
                <w:t>4</w:t>
              </w:r>
              <w:r w:rsidR="007768CE">
                <w:rPr>
                  <w:noProof/>
                </w:rPr>
                <w:t>-</w:t>
              </w:r>
              <w:r w:rsidR="007849C2">
                <w:rPr>
                  <w:noProof/>
                </w:rPr>
                <w:t>06</w:t>
              </w:r>
            </w:fldSimple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6DDA54D7" w:rsidR="001E41F3" w:rsidRDefault="00E718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1AC4CEA2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1888">
              <w:rPr>
                <w:noProof/>
              </w:rPr>
              <w:t>6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EF157" w14:textId="7A4B7E66" w:rsidR="006B0EB1" w:rsidRPr="006B0EB1" w:rsidRDefault="006B0EB1" w:rsidP="006B0EB1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eastAsia="Times New Roman"/>
                <w:noProof/>
                <w:spacing w:val="0"/>
                <w:lang w:val="en-GB"/>
              </w:rPr>
            </w:pPr>
            <w:r>
              <w:rPr>
                <w:noProof/>
              </w:rPr>
              <w:t xml:space="preserve">In </w:t>
            </w:r>
            <w:r>
              <w:rPr>
                <w:rStyle w:val="IvDbodytextChar"/>
                <w:rFonts w:ascii="Times New Roman" w:hAnsi="Times New Roman"/>
                <w:iCs/>
              </w:rPr>
              <w:t>the UE’s transmit power</w:t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 xml:space="preserve"> equation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, the term </w:t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>“</w:t>
            </w:r>
            <w:r w:rsidRPr="008C3E72">
              <w:rPr>
                <w:rStyle w:val="IvDbodytextChar"/>
                <w:rFonts w:ascii="Times New Roman" w:hAnsi="Times New Roman"/>
                <w:iCs/>
                <w:noProof/>
              </w:rPr>
              <w:drawing>
                <wp:inline distT="0" distB="0" distL="0" distR="0" wp14:anchorId="4A0793D9" wp14:editId="1FBFCB2E">
                  <wp:extent cx="1860230" cy="222240"/>
                  <wp:effectExtent l="0" t="0" r="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542" cy="270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 xml:space="preserve">” scales-down the power </w:t>
            </w:r>
            <w:r>
              <w:rPr>
                <w:rStyle w:val="IvDbodytextChar"/>
                <w:rFonts w:ascii="Times New Roman" w:hAnsi="Times New Roman"/>
                <w:iCs/>
              </w:rPr>
              <w:t>for a full-PRB allocation and sub-PRB allocations respectively as follows:</w:t>
            </w:r>
          </w:p>
          <w:p w14:paraId="371D7744" w14:textId="77777777" w:rsidR="006B0EB1" w:rsidRDefault="006B0EB1" w:rsidP="006B0EB1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ascii="Times New Roman" w:hAnsi="Times New Roman"/>
                <w:iCs/>
              </w:rPr>
            </w:pPr>
          </w:p>
          <w:p w14:paraId="00752B52" w14:textId="77777777" w:rsidR="006B0EB1" w:rsidRDefault="006B0EB1" w:rsidP="006B0E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Style w:val="IvDbodytextChar"/>
                <w:rFonts w:ascii="Times New Roman" w:hAnsi="Times New Roman"/>
                <w:iCs/>
              </w:rPr>
            </w:pP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When 12 subcarriers are allocated 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= 0 dB, </w:t>
            </w:r>
            <w:r>
              <w:rPr>
                <w:rStyle w:val="IvDbodytextChar"/>
                <w:rFonts w:ascii="Times New Roman" w:hAnsi="Times New Roman"/>
                <w:iCs/>
              </w:rPr>
              <w:t>whereas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 when sub-PRB is used, for 6 allocated subcarriers  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= -3.0103 dB, for 3 allocated subcarriers 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= -6.0206 dB and for 2-of-3 allocated subcarriers 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 xml:space="preserve">= -7.7815 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dB</w:t>
            </w:r>
            <w:r>
              <w:rPr>
                <w:rStyle w:val="IvDbodytextChar"/>
                <w:rFonts w:ascii="Times New Roman" w:hAnsi="Times New Roman"/>
                <w:iCs/>
              </w:rPr>
              <w:t>.</w:t>
            </w:r>
            <w:proofErr w:type="spellEnd"/>
          </w:p>
          <w:p w14:paraId="2A0BA46F" w14:textId="77777777" w:rsidR="006B0EB1" w:rsidRDefault="006B0EB1" w:rsidP="006B0EB1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ascii="Times New Roman" w:hAnsi="Times New Roman"/>
                <w:iCs/>
              </w:rPr>
            </w:pPr>
          </w:p>
          <w:p w14:paraId="033E52A7" w14:textId="546D73CD" w:rsidR="001E41F3" w:rsidRDefault="006B0EB1" w:rsidP="006B0EB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Style w:val="IvDbodytextChar"/>
                <w:rFonts w:ascii="Times New Roman" w:hAnsi="Times New Roman"/>
                <w:iCs/>
              </w:rPr>
              <w:t xml:space="preserve">The current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>“</w:t>
            </w:r>
            <w:proofErr w:type="spellStart"/>
            <w:proofErr w:type="gram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proofErr w:type="gramEnd"/>
            <w:r w:rsidRPr="00405F5E">
              <w:rPr>
                <w:rStyle w:val="IvDbodytextChar"/>
                <w:rFonts w:ascii="Times New Roman" w:hAnsi="Times New Roman"/>
                <w:iCs/>
              </w:rPr>
              <w:t>”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 calculation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for the 2-of-3 allocation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 xml:space="preserve">does not account for the fact 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that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>only 1 of the 2 utilized subcarriers is active at a time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. That is,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>the two subcarriers are not simultaneously used, since its usage stochastically commutes one at a time among the two usable tones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. Thus, the current specification provides a power scaling given by </w:t>
            </w:r>
            <w:proofErr w:type="spellStart"/>
            <w:proofErr w:type="gramStart"/>
            <w:r w:rsidRPr="008C3E72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proofErr w:type="gramEnd"/>
            <w:r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>= (3+</w:t>
            </w:r>
            <w:r>
              <w:rPr>
                <w:rStyle w:val="IvDbodytextChar"/>
                <w:rFonts w:ascii="Times New Roman" w:hAnsi="Times New Roman"/>
                <w:iCs/>
              </w:rPr>
              <w:t>1</w:t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 xml:space="preserve">-2)/12 = </w:t>
            </w:r>
            <w:r>
              <w:rPr>
                <w:rStyle w:val="IvDbodytextChar"/>
                <w:rFonts w:ascii="Times New Roman" w:hAnsi="Times New Roman"/>
                <w:iCs/>
              </w:rPr>
              <w:t>2</w:t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>/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12 (i.e., </w:t>
            </w:r>
            <w:r w:rsidRPr="002154CB">
              <w:rPr>
                <w:rStyle w:val="IvDbodytextChar"/>
                <w:rFonts w:ascii="Times New Roman" w:hAnsi="Times New Roman"/>
                <w:iCs/>
              </w:rPr>
              <w:t>-7.7815 dB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), instead of </w:t>
            </w:r>
            <w:proofErr w:type="spellStart"/>
            <w:r w:rsidRPr="008C3E72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 xml:space="preserve">= 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1/12 (i.e., -10.7918 dB). This means, that for the 2-of-3 subcarrier allocation currently </w:t>
            </w:r>
            <w:r w:rsidR="00642D73">
              <w:rPr>
                <w:rStyle w:val="IvDbodytextChar"/>
                <w:rFonts w:ascii="Times New Roman" w:hAnsi="Times New Roman"/>
                <w:iCs/>
              </w:rPr>
              <w:t>there is an excess of transmit</w:t>
            </w:r>
            <w:r>
              <w:rPr>
                <w:rStyle w:val="IvDbodytextChar"/>
                <w:rFonts w:ascii="Times New Roman" w:hAnsi="Times New Roman"/>
                <w:iCs/>
              </w:rPr>
              <w:t xml:space="preserve"> power of ⁓3dB</w:t>
            </w:r>
            <w:r>
              <w:rPr>
                <w:noProof/>
              </w:rPr>
              <w:t>.</w:t>
            </w:r>
          </w:p>
          <w:p w14:paraId="68844653" w14:textId="1B8CCA6C" w:rsidR="006B0EB1" w:rsidRDefault="006B0EB1" w:rsidP="006B0EB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FBC5C" w14:textId="6CE26B8A" w:rsidR="006B0EB1" w:rsidRPr="00746C39" w:rsidRDefault="006B0EB1" w:rsidP="006B0EB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To a</w:t>
            </w:r>
            <w:r w:rsidRPr="00746C39">
              <w:rPr>
                <w:rFonts w:ascii="Times New Roman" w:hAnsi="Times New Roman"/>
                <w:noProof/>
              </w:rPr>
              <w:t>void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="00642D73">
              <w:rPr>
                <w:rFonts w:ascii="Times New Roman" w:hAnsi="Times New Roman"/>
                <w:noProof/>
              </w:rPr>
              <w:t xml:space="preserve">an excess of transmit power of </w:t>
            </w:r>
            <w:r w:rsidR="00642D73" w:rsidRPr="00746C39">
              <w:rPr>
                <w:rStyle w:val="IvDbodytextChar"/>
                <w:rFonts w:ascii="Times New Roman" w:hAnsi="Times New Roman"/>
                <w:iCs/>
              </w:rPr>
              <w:t>⁓3dB</w:t>
            </w:r>
            <w:r w:rsidR="00642D73">
              <w:rPr>
                <w:rFonts w:ascii="Times New Roman" w:hAnsi="Times New Roman"/>
                <w:noProof/>
              </w:rPr>
              <w:t xml:space="preserve"> when sub-PRB uses</w:t>
            </w:r>
            <w:r w:rsidRPr="00746C39">
              <w:rPr>
                <w:rFonts w:ascii="Times New Roman" w:hAnsi="Times New Roman"/>
                <w:noProof/>
              </w:rPr>
              <w:t xml:space="preserve"> a 2-of-3 subcarrier </w:t>
            </w:r>
            <w:r>
              <w:rPr>
                <w:rFonts w:ascii="Times New Roman" w:hAnsi="Times New Roman"/>
                <w:noProof/>
              </w:rPr>
              <w:t>allocation</w:t>
            </w:r>
            <w:r w:rsidRPr="00746C39">
              <w:rPr>
                <w:rFonts w:ascii="Times New Roman" w:hAnsi="Times New Roman"/>
                <w:noProof/>
              </w:rPr>
              <w:t>, and to keep unmodified “</w:t>
            </w:r>
            <w:r w:rsidRPr="00746C39">
              <w:rPr>
                <w:rFonts w:ascii="Times New Roman" w:hAnsi="Times New Roman"/>
                <w:noProof/>
                <w:position w:val="-10"/>
              </w:rPr>
              <w:drawing>
                <wp:inline distT="0" distB="0" distL="0" distR="0" wp14:anchorId="4F9A5889" wp14:editId="6F436046">
                  <wp:extent cx="274320" cy="1828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C39">
              <w:rPr>
                <w:rFonts w:ascii="Times New Roman" w:hAnsi="Times New Roman"/>
                <w:noProof/>
              </w:rPr>
              <w:t>”, “</w:t>
            </w:r>
            <w:proofErr w:type="spellStart"/>
            <w:r w:rsidRPr="00746C39">
              <w:rPr>
                <w:rFonts w:ascii="Times New Roman" w:hAnsi="Times New Roman"/>
                <w:i/>
              </w:rPr>
              <w:t>Q</w:t>
            </w:r>
            <w:r w:rsidRPr="00746C39">
              <w:rPr>
                <w:rFonts w:ascii="Times New Roman" w:hAnsi="Times New Roman"/>
                <w:i/>
                <w:vertAlign w:val="subscript"/>
              </w:rPr>
              <w:t>m</w:t>
            </w:r>
            <w:proofErr w:type="spellEnd"/>
            <w:r w:rsidRPr="00746C39">
              <w:rPr>
                <w:rFonts w:ascii="Times New Roman" w:hAnsi="Times New Roman"/>
                <w:noProof/>
              </w:rPr>
              <w:t>”, and “</w:t>
            </w:r>
            <w:r w:rsidRPr="00746C39">
              <w:rPr>
                <w:rFonts w:ascii="Times New Roman" w:hAnsi="Times New Roman"/>
                <w:position w:val="-10"/>
              </w:rPr>
              <w:object w:dxaOrig="440" w:dyaOrig="340" w14:anchorId="4A915E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8pt" o:ole="">
                  <v:imagedata r:id="rId18" o:title=""/>
                </v:shape>
                <o:OLEObject Type="Embed" ProgID="Equation.3" ShapeID="_x0000_i1025" DrawAspect="Content" ObjectID="_1679236606" r:id="rId19"/>
              </w:object>
            </w:r>
            <w:r w:rsidRPr="00746C39">
              <w:rPr>
                <w:rFonts w:ascii="Times New Roman" w:hAnsi="Times New Roman"/>
                <w:noProof/>
              </w:rPr>
              <w:t>”,</w:t>
            </w:r>
            <w:r>
              <w:rPr>
                <w:rFonts w:ascii="Times New Roman" w:hAnsi="Times New Roman"/>
                <w:noProof/>
              </w:rPr>
              <w:t xml:space="preserve"> which are the legacy variables used by </w:t>
            </w:r>
            <w:r w:rsidRPr="00405F5E">
              <w:rPr>
                <w:rStyle w:val="IvDbodytextChar"/>
                <w:rFonts w:ascii="Times New Roman" w:hAnsi="Times New Roman"/>
                <w:iCs/>
              </w:rPr>
              <w:t>“</w:t>
            </w:r>
            <w:proofErr w:type="spellStart"/>
            <w:r w:rsidRPr="002154CB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2154C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405F5E">
              <w:rPr>
                <w:rStyle w:val="IvDbodytextChar"/>
                <w:rFonts w:ascii="Times New Roman" w:hAnsi="Times New Roman"/>
                <w:iCs/>
              </w:rPr>
              <w:t>”</w:t>
            </w:r>
            <w:r>
              <w:rPr>
                <w:rStyle w:val="IvDbodytextChar"/>
                <w:rFonts w:ascii="Times New Roman" w:hAnsi="Times New Roman"/>
                <w:iCs/>
              </w:rPr>
              <w:t>,</w:t>
            </w:r>
            <w:r w:rsidRPr="00746C39">
              <w:rPr>
                <w:rFonts w:ascii="Times New Roman" w:hAnsi="Times New Roman"/>
                <w:noProof/>
              </w:rPr>
              <w:t xml:space="preserve"> in clause 5.1.1.1 the following is appended to </w:t>
            </w:r>
            <w:r>
              <w:rPr>
                <w:rFonts w:ascii="Times New Roman" w:hAnsi="Times New Roman"/>
                <w:noProof/>
              </w:rPr>
              <w:t xml:space="preserve">the </w:t>
            </w:r>
            <w:r w:rsidRPr="00746C39">
              <w:rPr>
                <w:rFonts w:ascii="Times New Roman" w:hAnsi="Times New Roman"/>
                <w:noProof/>
              </w:rPr>
              <w:t xml:space="preserve">legacy </w:t>
            </w:r>
            <w:r w:rsidRPr="00746C39">
              <w:rPr>
                <w:rStyle w:val="IvDbodytextChar"/>
                <w:rFonts w:ascii="Times New Roman" w:hAnsi="Times New Roman"/>
                <w:iCs/>
              </w:rPr>
              <w:t>“</w:t>
            </w:r>
            <w:proofErr w:type="spellStart"/>
            <w:r w:rsidRPr="00746C39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746C39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746C39">
              <w:rPr>
                <w:rStyle w:val="IvDbodytextChar"/>
                <w:rFonts w:ascii="Times New Roman" w:hAnsi="Times New Roman"/>
                <w:iCs/>
              </w:rPr>
              <w:t xml:space="preserve">” </w:t>
            </w:r>
            <w:r w:rsidRPr="00746C39">
              <w:rPr>
                <w:rFonts w:ascii="Times New Roman" w:hAnsi="Times New Roman"/>
                <w:noProof/>
              </w:rPr>
              <w:t>equation</w:t>
            </w:r>
            <w:r>
              <w:rPr>
                <w:rFonts w:ascii="Times New Roman" w:hAnsi="Times New Roman"/>
                <w:noProof/>
              </w:rPr>
              <w:t xml:space="preserve"> as to obtain </w:t>
            </w:r>
            <w:proofErr w:type="spellStart"/>
            <w:r w:rsidRPr="008C3E72">
              <w:rPr>
                <w:rStyle w:val="IvDbodytextChar"/>
                <w:rFonts w:ascii="Times New Roman" w:hAnsi="Times New Roman"/>
                <w:iCs/>
              </w:rPr>
              <w:t>M</w:t>
            </w:r>
            <w:r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>PUSCH,c</w:t>
            </w:r>
            <w:proofErr w:type="spellEnd"/>
            <w:r w:rsidRPr="00975B3B">
              <w:rPr>
                <w:rStyle w:val="IvDbodytextChar"/>
                <w:rFonts w:ascii="Times New Roman" w:hAnsi="Times New Roman"/>
                <w:iCs/>
                <w:vertAlign w:val="subscript"/>
              </w:rPr>
              <w:t xml:space="preserve"> </w:t>
            </w:r>
            <w:r w:rsidRPr="008C3E72">
              <w:rPr>
                <w:rStyle w:val="IvDbodytextChar"/>
                <w:rFonts w:ascii="Times New Roman" w:hAnsi="Times New Roman"/>
                <w:iCs/>
              </w:rPr>
              <w:t xml:space="preserve">= </w:t>
            </w:r>
            <w:r>
              <w:rPr>
                <w:rStyle w:val="IvDbodytextChar"/>
                <w:rFonts w:ascii="Times New Roman" w:hAnsi="Times New Roman"/>
                <w:iCs/>
              </w:rPr>
              <w:t>1/12 for the 2-of-3 subcarrier allocation case</w:t>
            </w:r>
            <w:r w:rsidRPr="00746C39">
              <w:rPr>
                <w:rFonts w:ascii="Times New Roman" w:hAnsi="Times New Roman"/>
                <w:noProof/>
              </w:rPr>
              <w:t>:</w:t>
            </w:r>
          </w:p>
          <w:p w14:paraId="3349E393" w14:textId="77777777" w:rsidR="006B0EB1" w:rsidRDefault="006B0EB1" w:rsidP="006B0EB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54420909" w14:textId="7095BEA5" w:rsidR="001E41F3" w:rsidRDefault="006B0EB1" w:rsidP="006B0EB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“if </w:t>
            </w:r>
            <w:r>
              <w:rPr>
                <w:rFonts w:ascii="Times New Roman" w:hAnsi="Times New Roman"/>
                <w:noProof/>
                <w:position w:val="-12"/>
                <w:lang w:eastAsia="en-GB"/>
              </w:rPr>
              <w:drawing>
                <wp:inline distT="0" distB="0" distL="0" distR="0" wp14:anchorId="06D15BD6" wp14:editId="28BCE4B4">
                  <wp:extent cx="209550" cy="2381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≠</w:t>
            </w:r>
            <w:r>
              <w:t xml:space="preserve"> 1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  <m:r>
                    <w:rPr>
                      <w:rFonts w:ascii="Cambria Math" w:hAnsi="Cambria Math"/>
                    </w:rPr>
                    <m:t>,c</m:t>
                  </m:r>
                </m:sub>
              </m:sSub>
              <m:r>
                <w:rPr>
                  <w:rFonts w:ascii="Cambria Math" w:hAnsi="Cambria Math"/>
                </w:rPr>
                <m:t>(i)=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RU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-2</m:t>
                      </m:r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m:r>
                    </m:sup>
                  </m:sSubSup>
                </m:den>
              </m:f>
            </m:oMath>
            <w:r>
              <w:t xml:space="preserve"> if </w:t>
            </w:r>
            <w:r>
              <w:rPr>
                <w:rFonts w:ascii="Times New Roman" w:hAnsi="Times New Roman"/>
                <w:noProof/>
                <w:position w:val="-12"/>
                <w:lang w:eastAsia="en-GB"/>
              </w:rPr>
              <w:drawing>
                <wp:inline distT="0" distB="0" distL="0" distR="0" wp14:anchorId="719E9D90" wp14:editId="6D0F84C9">
                  <wp:extent cx="209550" cy="2381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=</w:t>
            </w:r>
            <w:r>
              <w:t xml:space="preserve"> 1”</w:t>
            </w:r>
            <w:r w:rsidR="007768CE" w:rsidRPr="007768CE">
              <w:rPr>
                <w:noProof/>
              </w:rPr>
              <w:t>.</w:t>
            </w: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0B0F568F" w:rsidR="001E41F3" w:rsidRDefault="006B0EB1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</w:t>
            </w:r>
            <w:r w:rsidR="00C72A1E">
              <w:rPr>
                <w:rFonts w:ascii="Times New Roman" w:hAnsi="Times New Roman"/>
                <w:noProof/>
              </w:rPr>
              <w:t>power scaling</w:t>
            </w:r>
            <w:r w:rsidRPr="00746C39">
              <w:rPr>
                <w:rFonts w:ascii="Times New Roman" w:hAnsi="Times New Roman"/>
                <w:noProof/>
              </w:rPr>
              <w:t xml:space="preserve"> produced from a 2-of-3 subcarrier would </w:t>
            </w:r>
            <w:r w:rsidR="00642D73">
              <w:rPr>
                <w:rFonts w:ascii="Times New Roman" w:hAnsi="Times New Roman"/>
                <w:noProof/>
              </w:rPr>
              <w:t xml:space="preserve">result in an excess of transmit </w:t>
            </w:r>
            <w:r w:rsidR="009260A9">
              <w:rPr>
                <w:rFonts w:ascii="Times New Roman" w:hAnsi="Times New Roman"/>
                <w:noProof/>
              </w:rPr>
              <w:t xml:space="preserve">power of </w:t>
            </w:r>
            <w:r w:rsidRPr="00746C39">
              <w:rPr>
                <w:rStyle w:val="IvDbodytextChar"/>
                <w:rFonts w:ascii="Times New Roman" w:hAnsi="Times New Roman"/>
                <w:iCs/>
              </w:rPr>
              <w:t>⁓3dB</w:t>
            </w:r>
            <w:r w:rsidR="007768CE" w:rsidRPr="007768CE">
              <w:rPr>
                <w:noProof/>
              </w:rPr>
              <w:t>.</w:t>
            </w:r>
            <w:r w:rsidR="00642D73">
              <w:rPr>
                <w:noProof/>
              </w:rPr>
              <w:t xml:space="preserve"> </w:t>
            </w:r>
            <w:r w:rsidR="00642D73">
              <w:rPr>
                <w:rStyle w:val="IvDbodytextChar"/>
                <w:rFonts w:ascii="Times New Roman" w:hAnsi="Times New Roman"/>
                <w:iCs/>
              </w:rPr>
              <w:t>This</w:t>
            </w:r>
            <w:r w:rsidR="00642D73" w:rsidRPr="00046ED8">
              <w:rPr>
                <w:rStyle w:val="IvDbodytextChar"/>
                <w:rFonts w:ascii="Times New Roman" w:hAnsi="Times New Roman"/>
                <w:iCs/>
              </w:rPr>
              <w:t xml:space="preserve"> excess of transmi</w:t>
            </w:r>
            <w:r w:rsidR="00642D73">
              <w:rPr>
                <w:rStyle w:val="IvDbodytextChar"/>
                <w:rFonts w:ascii="Times New Roman" w:hAnsi="Times New Roman"/>
                <w:iCs/>
              </w:rPr>
              <w:t>t</w:t>
            </w:r>
            <w:r w:rsidR="00642D73" w:rsidRPr="00046ED8">
              <w:rPr>
                <w:rStyle w:val="IvDbodytextChar"/>
                <w:rFonts w:ascii="Times New Roman" w:hAnsi="Times New Roman"/>
                <w:iCs/>
              </w:rPr>
              <w:t xml:space="preserve"> power goes against the UE’s battery life. This also </w:t>
            </w:r>
            <w:r w:rsidR="00642D73">
              <w:rPr>
                <w:rStyle w:val="IvDbodytextChar"/>
                <w:rFonts w:ascii="Times New Roman" w:hAnsi="Times New Roman"/>
                <w:iCs/>
              </w:rPr>
              <w:t>might cause</w:t>
            </w:r>
            <w:r w:rsidR="00642D73" w:rsidRPr="00046ED8">
              <w:rPr>
                <w:rStyle w:val="IvDbodytextChar"/>
                <w:rFonts w:ascii="Times New Roman" w:hAnsi="Times New Roman"/>
                <w:iCs/>
              </w:rPr>
              <w:t xml:space="preserve"> additional interference to the </w:t>
            </w:r>
            <w:proofErr w:type="spellStart"/>
            <w:r w:rsidR="00642D73" w:rsidRPr="00046ED8">
              <w:rPr>
                <w:rStyle w:val="IvDbodytextChar"/>
                <w:rFonts w:ascii="Times New Roman" w:hAnsi="Times New Roman"/>
                <w:iCs/>
              </w:rPr>
              <w:t>eNB</w:t>
            </w:r>
            <w:proofErr w:type="spellEnd"/>
            <w:r w:rsidR="00642D73">
              <w:rPr>
                <w:rStyle w:val="IvDbodytextChar"/>
                <w:rFonts w:ascii="Times New Roman" w:hAnsi="Times New Roman"/>
                <w:iCs/>
              </w:rPr>
              <w:t>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3743E437" w:rsidR="001E41F3" w:rsidRDefault="006B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F8C48" w14:textId="5B80C35E" w:rsidR="005E01B9" w:rsidRDefault="005E01B9">
      <w:pPr>
        <w:rPr>
          <w:noProof/>
        </w:rPr>
      </w:pPr>
      <w:r w:rsidRPr="00AE2A7A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25C32B4A" w14:textId="77777777" w:rsidR="00671CB6" w:rsidRPr="0023299F" w:rsidRDefault="00671CB6" w:rsidP="00671CB6">
      <w:pPr>
        <w:pStyle w:val="Heading4"/>
      </w:pPr>
      <w:bookmarkStart w:id="2" w:name="_Toc415085428"/>
      <w:r w:rsidRPr="0023299F">
        <w:t>5.1.1.1</w:t>
      </w:r>
      <w:r w:rsidRPr="0023299F">
        <w:tab/>
        <w:t>UE behaviour</w:t>
      </w:r>
      <w:bookmarkEnd w:id="2"/>
    </w:p>
    <w:p w14:paraId="4B606F5A" w14:textId="77777777" w:rsidR="00671CB6" w:rsidRPr="0023299F" w:rsidRDefault="00671CB6" w:rsidP="00671CB6">
      <w:r w:rsidRPr="0023299F">
        <w:t>The setting of the UE Transmit power for a Physical Uplink Shared Channel (PUSCH) transmission is defined as follows.</w:t>
      </w:r>
    </w:p>
    <w:p w14:paraId="4D9CB5BF" w14:textId="77777777" w:rsidR="00671CB6" w:rsidRPr="0023299F" w:rsidRDefault="00671CB6" w:rsidP="00671CB6">
      <w:r w:rsidRPr="0023299F">
        <w:t xml:space="preserve">If the UE transmits PUSCH without a simultaneous PUCCH for the serving cell </w:t>
      </w:r>
      <w:r w:rsidRPr="0023299F">
        <w:rPr>
          <w:position w:val="-6"/>
        </w:rPr>
        <w:object w:dxaOrig="160" w:dyaOrig="200" w14:anchorId="35F3E284">
          <v:shape id="_x0000_i1026" type="#_x0000_t75" style="width:8.25pt;height:9.75pt" o:ole="">
            <v:imagedata r:id="rId23" o:title=""/>
          </v:shape>
          <o:OLEObject Type="Embed" ProgID="Equation.3" ShapeID="_x0000_i1026" DrawAspect="Content" ObjectID="_1679236607" r:id="rId24"/>
        </w:object>
      </w:r>
      <w:r w:rsidRPr="0023299F">
        <w:t xml:space="preserve">, then the UE transmit power </w:t>
      </w:r>
      <w:r w:rsidRPr="0023299F">
        <w:rPr>
          <w:position w:val="-12"/>
        </w:rPr>
        <w:object w:dxaOrig="1060" w:dyaOrig="320" w14:anchorId="6845B2CC">
          <v:shape id="_x0000_i1027" type="#_x0000_t75" style="width:52.5pt;height:15.75pt" o:ole="">
            <v:imagedata r:id="rId25" o:title=""/>
          </v:shape>
          <o:OLEObject Type="Embed" ProgID="Equation.3" ShapeID="_x0000_i1027" DrawAspect="Content" ObjectID="_1679236608" r:id="rId26"/>
        </w:object>
      </w:r>
      <w:r w:rsidRPr="0023299F">
        <w:t xml:space="preserve"> for PUSCH transmission in subframe/slot/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>i</w:t>
      </w:r>
      <w:r w:rsidRPr="0023299F">
        <w:t xml:space="preserve"> for the serving cell </w:t>
      </w:r>
      <w:r w:rsidRPr="0023299F">
        <w:rPr>
          <w:position w:val="-6"/>
        </w:rPr>
        <w:object w:dxaOrig="160" w:dyaOrig="200" w14:anchorId="54E93BF0">
          <v:shape id="_x0000_i1028" type="#_x0000_t75" style="width:8.25pt;height:9.75pt" o:ole="">
            <v:imagedata r:id="rId23" o:title=""/>
          </v:shape>
          <o:OLEObject Type="Embed" ProgID="Equation.3" ShapeID="_x0000_i1028" DrawAspect="Content" ObjectID="_1679236609" r:id="rId27"/>
        </w:object>
      </w:r>
      <w:r w:rsidRPr="0023299F">
        <w:t>is given by</w:t>
      </w:r>
    </w:p>
    <w:p w14:paraId="0FF5495D" w14:textId="77777777" w:rsidR="00671CB6" w:rsidRPr="0023299F" w:rsidRDefault="00671CB6" w:rsidP="00671CB6">
      <w:pPr>
        <w:pStyle w:val="EQ"/>
        <w:jc w:val="center"/>
      </w:pPr>
      <w:r w:rsidRPr="0023299F">
        <w:rPr>
          <w:position w:val="-30"/>
        </w:rPr>
        <w:object w:dxaOrig="7560" w:dyaOrig="700" w14:anchorId="12AD3B62">
          <v:shape id="_x0000_i1029" type="#_x0000_t75" style="width:378.75pt;height:35.25pt" o:ole="">
            <v:imagedata r:id="rId28" o:title=""/>
          </v:shape>
          <o:OLEObject Type="Embed" ProgID="Equation.3" ShapeID="_x0000_i1029" DrawAspect="Content" ObjectID="_1679236610" r:id="rId29"/>
        </w:object>
      </w:r>
      <w:r w:rsidRPr="0023299F">
        <w:t xml:space="preserve"> [dBm]</w:t>
      </w:r>
    </w:p>
    <w:p w14:paraId="500C3A9E" w14:textId="77777777" w:rsidR="00671CB6" w:rsidRPr="0023299F" w:rsidRDefault="00671CB6" w:rsidP="00671CB6">
      <w:r w:rsidRPr="0023299F">
        <w:t xml:space="preserve">If the UE transmits PUSCH simultaneous with PUCCH for the serving cell </w:t>
      </w:r>
      <w:r w:rsidRPr="0023299F">
        <w:rPr>
          <w:position w:val="-6"/>
        </w:rPr>
        <w:object w:dxaOrig="160" w:dyaOrig="200" w14:anchorId="1ACBE63C">
          <v:shape id="_x0000_i1030" type="#_x0000_t75" style="width:8.25pt;height:9.75pt" o:ole="">
            <v:imagedata r:id="rId23" o:title=""/>
          </v:shape>
          <o:OLEObject Type="Embed" ProgID="Equation.3" ShapeID="_x0000_i1030" DrawAspect="Content" ObjectID="_1679236611" r:id="rId30"/>
        </w:object>
      </w:r>
      <w:r w:rsidRPr="0023299F">
        <w:t xml:space="preserve">, then the UE transmit power </w:t>
      </w:r>
      <w:r w:rsidRPr="0023299F">
        <w:rPr>
          <w:position w:val="-12"/>
        </w:rPr>
        <w:object w:dxaOrig="1060" w:dyaOrig="320" w14:anchorId="1B4C5827">
          <v:shape id="_x0000_i1031" type="#_x0000_t75" style="width:52.5pt;height:15.75pt" o:ole="">
            <v:imagedata r:id="rId31" o:title=""/>
          </v:shape>
          <o:OLEObject Type="Embed" ProgID="Equation.3" ShapeID="_x0000_i1031" DrawAspect="Content" ObjectID="_1679236612" r:id="rId32"/>
        </w:object>
      </w:r>
      <w:r w:rsidRPr="0023299F">
        <w:t xml:space="preserve"> for the PUSCH transmission in subframe/slot/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>i</w:t>
      </w:r>
      <w:r w:rsidRPr="0023299F">
        <w:t xml:space="preserve"> for the serving cell </w:t>
      </w:r>
      <w:r w:rsidRPr="0023299F">
        <w:rPr>
          <w:position w:val="-6"/>
        </w:rPr>
        <w:object w:dxaOrig="160" w:dyaOrig="200" w14:anchorId="5ADE872A">
          <v:shape id="_x0000_i1032" type="#_x0000_t75" style="width:8.25pt;height:9.75pt" o:ole="">
            <v:imagedata r:id="rId23" o:title=""/>
          </v:shape>
          <o:OLEObject Type="Embed" ProgID="Equation.3" ShapeID="_x0000_i1032" DrawAspect="Content" ObjectID="_1679236613" r:id="rId33"/>
        </w:object>
      </w:r>
      <w:r w:rsidRPr="0023299F">
        <w:t xml:space="preserve"> is given by</w:t>
      </w:r>
    </w:p>
    <w:p w14:paraId="65D84C4C" w14:textId="151A63DA" w:rsidR="00671CB6" w:rsidRPr="00671CB6" w:rsidRDefault="00671CB6" w:rsidP="00671CB6">
      <w:pPr>
        <w:pStyle w:val="EQ"/>
        <w:jc w:val="center"/>
      </w:pPr>
      <w:r w:rsidRPr="0023299F">
        <w:rPr>
          <w:position w:val="-34"/>
        </w:rPr>
        <w:object w:dxaOrig="7540" w:dyaOrig="780" w14:anchorId="25F43C89">
          <v:shape id="_x0000_i1033" type="#_x0000_t75" style="width:376.5pt;height:39pt" o:ole="">
            <v:imagedata r:id="rId34" o:title=""/>
          </v:shape>
          <o:OLEObject Type="Embed" ProgID="Equation.3" ShapeID="_x0000_i1033" DrawAspect="Content" ObjectID="_1679236614" r:id="rId35"/>
        </w:object>
      </w:r>
      <w:r w:rsidRPr="0023299F">
        <w:t xml:space="preserve"> [dBm]</w:t>
      </w:r>
    </w:p>
    <w:p w14:paraId="075B8E0C" w14:textId="53788781" w:rsidR="00AE2A7A" w:rsidRDefault="00AE2A7A" w:rsidP="00AE2A7A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0F20FB8B" w14:textId="291E3499" w:rsidR="00671CB6" w:rsidRPr="0023299F" w:rsidRDefault="00671CB6" w:rsidP="00671CB6">
      <w:pPr>
        <w:pStyle w:val="B1"/>
      </w:pPr>
      <w:r w:rsidRPr="0023299F">
        <w:t>-</w:t>
      </w:r>
      <w:r w:rsidRPr="0023299F">
        <w:tab/>
      </w:r>
      <w:r>
        <w:t xml:space="preserve">If the UE is a BL/CE UE </w:t>
      </w:r>
      <w:r w:rsidRPr="000D3CFB">
        <w:t>configured</w:t>
      </w:r>
      <w:r>
        <w:t xml:space="preserve"> with higher layer parameter </w:t>
      </w:r>
      <w:r w:rsidRPr="000A1866">
        <w:rPr>
          <w:i/>
        </w:rPr>
        <w:t>ce-PUSCH-SubPRB-Config-r15</w:t>
      </w:r>
      <w:r>
        <w:t xml:space="preserve">, and the </w:t>
      </w:r>
      <w:r w:rsidRPr="0023299F">
        <w:t xml:space="preserve">PUSCH resource assignment valid for subframe </w:t>
      </w:r>
      <w:r w:rsidRPr="0023299F">
        <w:rPr>
          <w:i/>
        </w:rPr>
        <w:t xml:space="preserve">i </w:t>
      </w:r>
      <w:r w:rsidRPr="0023299F">
        <w:t>and serving cell</w:t>
      </w:r>
      <w:r>
        <w:t xml:space="preserve"> </w:t>
      </w:r>
      <w:r w:rsidRPr="0023299F">
        <w:rPr>
          <w:position w:val="-6"/>
        </w:rPr>
        <w:object w:dxaOrig="160" w:dyaOrig="200" w14:anchorId="7E71B819">
          <v:shape id="_x0000_i1034" type="#_x0000_t75" style="width:8.25pt;height:9.75pt" o:ole="">
            <v:imagedata r:id="rId36" o:title=""/>
          </v:shape>
          <o:OLEObject Type="Embed" ProgID="Equation.3" ShapeID="_x0000_i1034" DrawAspect="Content" ObjectID="_1679236615" r:id="rId37"/>
        </w:object>
      </w:r>
      <w:r>
        <w:t>is using uplink resource allocation type 5,</w:t>
      </w:r>
      <w:r w:rsidRPr="002271CF">
        <w:t xml:space="preserve"> </w:t>
      </w:r>
      <w:r w:rsidRPr="0023299F">
        <w:rPr>
          <w:position w:val="-12"/>
        </w:rPr>
        <w:object w:dxaOrig="1140" w:dyaOrig="320" w14:anchorId="6BB08F6A">
          <v:shape id="_x0000_i1035" type="#_x0000_t75" style="width:57pt;height:15.75pt" o:ole="">
            <v:imagedata r:id="rId38" o:title=""/>
          </v:shape>
          <o:OLEObject Type="Embed" ProgID="Equation.3" ShapeID="_x0000_i1035" DrawAspect="Content" ObjectID="_1679236616" r:id="rId39"/>
        </w:object>
      </w:r>
      <w:r w:rsidRPr="0023299F">
        <w:t xml:space="preserve">is the bandwidth of the PUSCH resource assignment expressed in </w:t>
      </w:r>
      <w:r>
        <w:t>fraction of a resource block and is given by</w:t>
      </w:r>
      <w:r w:rsidRPr="00B1266C">
        <w:t xml:space="preserve"> </w:t>
      </w:r>
      <w:r w:rsidRPr="00B1266C">
        <w:rPr>
          <w:position w:val="-16"/>
        </w:rPr>
        <w:object w:dxaOrig="3420" w:dyaOrig="440" w14:anchorId="6F7ACAEB">
          <v:shape id="_x0000_i1036" type="#_x0000_t75" style="width:168.75pt;height:21pt" o:ole="">
            <v:imagedata r:id="rId40" o:title=""/>
          </v:shape>
          <o:OLEObject Type="Embed" ProgID="Equation.DSMT4" ShapeID="_x0000_i1036" DrawAspect="Content" ObjectID="_1679236617" r:id="rId41"/>
        </w:object>
      </w:r>
      <w:r>
        <w:t xml:space="preserve"> </w:t>
      </w:r>
      <w:ins w:id="3" w:author="Ericsson" w:date="2021-04-06T15:56:00Z">
        <w:r>
          <w:t xml:space="preserve">if </w:t>
        </w:r>
        <w:r>
          <w:rPr>
            <w:noProof/>
            <w:position w:val="-12"/>
            <w:lang w:eastAsia="en-GB"/>
          </w:rPr>
          <w:drawing>
            <wp:inline distT="0" distB="0" distL="0" distR="0" wp14:anchorId="081D78E1" wp14:editId="6DB30F6D">
              <wp:extent cx="209550" cy="238125"/>
              <wp:effectExtent l="0" t="0" r="0" b="952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20" r:link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>≠</w:t>
        </w:r>
        <w:r>
          <w:t xml:space="preserve"> 1 or </w:t>
        </w:r>
      </w:ins>
      <m:oMath>
        <m:sSub>
          <m:sSubPr>
            <m:ctrlPr>
              <w:ins w:id="4" w:author="Ericsson" w:date="2021-04-06T15:5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" w:author="Ericsson" w:date="2021-04-06T15:5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6" w:author="Ericsson" w:date="2021-04-06T15:56:00Z">
                <m:rPr>
                  <m:sty m:val="p"/>
                </m:rPr>
                <w:rPr>
                  <w:rFonts w:ascii="Cambria Math" w:hAnsi="Cambria Math"/>
                </w:rPr>
                <m:t>PUSCH</m:t>
              </w:ins>
            </m:r>
            <m:r>
              <w:ins w:id="7" w:author="Ericsson" w:date="2021-04-06T15:56:00Z">
                <w:rPr>
                  <w:rFonts w:ascii="Cambria Math" w:hAnsi="Cambria Math"/>
                </w:rPr>
                <m:t>,c</m:t>
              </w:ins>
            </m:r>
          </m:sub>
        </m:sSub>
        <m:r>
          <w:ins w:id="8" w:author="Ericsson" w:date="2021-04-06T15:56:00Z">
            <w:rPr>
              <w:rFonts w:ascii="Cambria Math" w:hAnsi="Cambria Math"/>
            </w:rPr>
            <m:t>(i)=</m:t>
          </w:ins>
        </m:r>
        <m:f>
          <m:fPr>
            <m:type m:val="lin"/>
            <m:ctrlPr>
              <w:ins w:id="9" w:author="Ericsson" w:date="2021-04-06T15:56:00Z">
                <w:rPr>
                  <w:rFonts w:ascii="Cambria Math" w:hAnsi="Cambria Math"/>
                  <w:i/>
                </w:rPr>
              </w:ins>
            </m:ctrlPr>
          </m:fPr>
          <m:num>
            <m:d>
              <m:dPr>
                <m:ctrlPr>
                  <w:ins w:id="10" w:author="Ericsson" w:date="2021-04-06T15:56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11" w:author="Ericsson" w:date="2021-04-06T15:5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2" w:author="Ericsson" w:date="2021-04-06T15:56:00Z">
                        <w:rPr>
                          <w:rFonts w:ascii="Cambria Math" w:hAnsi="Cambria Math"/>
                        </w:rPr>
                        <m:t>M</m:t>
                      </w:ins>
                    </m:r>
                  </m:e>
                  <m:sub>
                    <m:r>
                      <w:ins w:id="13" w:author="Ericsson" w:date="2021-04-06T15:5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sc</m:t>
                      </w:ins>
                    </m:r>
                  </m:sub>
                  <m:sup>
                    <m:r>
                      <w:ins w:id="14" w:author="Ericsson" w:date="2021-04-06T15:56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RU</m:t>
                      </w:ins>
                    </m:r>
                  </m:sup>
                </m:sSubSup>
                <m:r>
                  <w:ins w:id="15" w:author="Ericsson" w:date="2021-04-06T15:56:00Z">
                    <w:rPr>
                      <w:rFonts w:ascii="Cambria Math" w:hAnsi="Cambria Math"/>
                    </w:rPr>
                    <m:t>-2</m:t>
                  </w:ins>
                </m:r>
              </m:e>
            </m:d>
          </m:num>
          <m:den>
            <m:sSubSup>
              <m:sSubSupPr>
                <m:ctrlPr>
                  <w:ins w:id="16" w:author="Ericsson" w:date="2021-04-06T15:56:00Z">
                    <w:rPr>
                      <w:rFonts w:ascii="Cambria Math" w:hAnsi="Cambria Math"/>
                      <w:iCs/>
                    </w:rPr>
                  </w:ins>
                </m:ctrlPr>
              </m:sSubSupPr>
              <m:e>
                <m:r>
                  <w:ins w:id="17" w:author="Ericsson" w:date="2021-04-06T15:56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8" w:author="Ericsson" w:date="2021-04-06T15:56:00Z">
                    <m:rPr>
                      <m:sty m:val="p"/>
                    </m:rPr>
                    <w:rPr>
                      <w:rFonts w:ascii="Cambria Math" w:hAnsi="Cambria Math"/>
                    </w:rPr>
                    <m:t>sc</m:t>
                  </w:ins>
                </m:r>
              </m:sub>
              <m:sup>
                <m:r>
                  <w:ins w:id="19" w:author="Ericsson" w:date="2021-04-06T15:56:00Z"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w:ins>
                </m:r>
              </m:sup>
            </m:sSubSup>
          </m:den>
        </m:f>
      </m:oMath>
      <w:ins w:id="20" w:author="Ericsson" w:date="2021-04-06T15:56:00Z">
        <w:r>
          <w:t xml:space="preserve"> if </w:t>
        </w:r>
        <w:r>
          <w:rPr>
            <w:noProof/>
            <w:position w:val="-12"/>
            <w:lang w:eastAsia="en-GB"/>
          </w:rPr>
          <w:drawing>
            <wp:inline distT="0" distB="0" distL="0" distR="0" wp14:anchorId="0963B193" wp14:editId="50A01A4F">
              <wp:extent cx="209550" cy="238125"/>
              <wp:effectExtent l="0" t="0" r="0" b="952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20" r:link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>=</w:t>
        </w:r>
        <w:r>
          <w:t xml:space="preserve"> 1 </w:t>
        </w:r>
      </w:ins>
      <w:r>
        <w:t xml:space="preserve">where </w:t>
      </w:r>
      <w:r w:rsidRPr="00CF1A66">
        <w:rPr>
          <w:position w:val="-12"/>
        </w:rPr>
        <w:object w:dxaOrig="1040" w:dyaOrig="380" w14:anchorId="54C78B7C">
          <v:shape id="_x0000_i1037" type="#_x0000_t75" style="width:51pt;height:19.5pt" o:ole="">
            <v:imagedata r:id="rId42" o:title=""/>
          </v:shape>
          <o:OLEObject Type="Embed" ProgID="Equation.DSMT4" ShapeID="_x0000_i1037" DrawAspect="Content" ObjectID="_1679236618" r:id="rId43"/>
        </w:object>
      </w:r>
      <w:r>
        <w:t xml:space="preserve"> are defined in [3] and </w:t>
      </w:r>
      <w:r w:rsidRPr="00CF1A66">
        <w:rPr>
          <w:position w:val="-12"/>
        </w:rPr>
        <w:object w:dxaOrig="340" w:dyaOrig="360" w14:anchorId="063F0677">
          <v:shape id="_x0000_i1038" type="#_x0000_t75" style="width:16.5pt;height:18.75pt" o:ole="">
            <v:imagedata r:id="rId44" o:title=""/>
          </v:shape>
          <o:OLEObject Type="Embed" ProgID="Equation.DSMT4" ShapeID="_x0000_i1038" DrawAspect="Content" ObjectID="_1679236619" r:id="rId45"/>
        </w:object>
      </w:r>
      <w:r>
        <w:t xml:space="preserve">is defined in Clause 8.6.1 for subframe </w:t>
      </w:r>
      <w:r w:rsidRPr="0023299F">
        <w:rPr>
          <w:i/>
        </w:rPr>
        <w:t>i</w:t>
      </w:r>
      <w:r>
        <w:rPr>
          <w:i/>
        </w:rPr>
        <w:t>,</w:t>
      </w:r>
      <w:r w:rsidRPr="0023299F">
        <w:rPr>
          <w:i/>
        </w:rPr>
        <w:t xml:space="preserve"> </w:t>
      </w:r>
      <w:r w:rsidRPr="0023299F">
        <w:rPr>
          <w:position w:val="-12"/>
        </w:rPr>
        <w:object w:dxaOrig="1140" w:dyaOrig="320" w14:anchorId="3AE7C4B8">
          <v:shape id="_x0000_i1039" type="#_x0000_t75" style="width:57pt;height:15.75pt" o:ole="">
            <v:imagedata r:id="rId38" o:title=""/>
          </v:shape>
          <o:OLEObject Type="Embed" ProgID="Equation.3" ShapeID="_x0000_i1039" DrawAspect="Content" ObjectID="_1679236620" r:id="rId46"/>
        </w:object>
      </w:r>
      <w:r w:rsidRPr="0023299F">
        <w:t>is the bandwidth of the PUSCH resource assignment expressed in number of resource blocks valid for subframe/slot/</w:t>
      </w:r>
      <w:proofErr w:type="spellStart"/>
      <w:r w:rsidRPr="0023299F">
        <w:t>subslot</w:t>
      </w:r>
      <w:proofErr w:type="spellEnd"/>
      <w:r w:rsidRPr="0023299F">
        <w:t xml:space="preserve"> </w:t>
      </w:r>
      <w:r w:rsidRPr="0023299F">
        <w:rPr>
          <w:i/>
        </w:rPr>
        <w:t xml:space="preserve">i </w:t>
      </w:r>
      <w:r w:rsidRPr="0023299F">
        <w:t>and serving cell</w:t>
      </w:r>
      <w:r w:rsidRPr="0023299F">
        <w:rPr>
          <w:i/>
        </w:rPr>
        <w:t xml:space="preserve"> </w:t>
      </w:r>
      <w:r w:rsidRPr="0023299F">
        <w:rPr>
          <w:position w:val="-6"/>
        </w:rPr>
        <w:object w:dxaOrig="160" w:dyaOrig="200" w14:anchorId="6872973D">
          <v:shape id="_x0000_i1040" type="#_x0000_t75" style="width:8.25pt;height:9.75pt" o:ole="">
            <v:imagedata r:id="rId36" o:title=""/>
          </v:shape>
          <o:OLEObject Type="Embed" ProgID="Equation.3" ShapeID="_x0000_i1040" DrawAspect="Content" ObjectID="_1679236621" r:id="rId47"/>
        </w:object>
      </w:r>
      <w:r>
        <w:t xml:space="preserve"> otherwise</w:t>
      </w:r>
      <w:r w:rsidRPr="0023299F">
        <w:t xml:space="preserve">. </w:t>
      </w:r>
    </w:p>
    <w:p w14:paraId="38FC3312" w14:textId="77777777" w:rsidR="005E01B9" w:rsidRDefault="005E01B9" w:rsidP="005E01B9">
      <w:pPr>
        <w:rPr>
          <w:noProof/>
        </w:rPr>
      </w:pPr>
      <w:r w:rsidRPr="00AE2A7A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0F51A" w14:textId="77777777" w:rsidR="00702E5E" w:rsidRDefault="00702E5E">
      <w:r>
        <w:separator/>
      </w:r>
    </w:p>
  </w:endnote>
  <w:endnote w:type="continuationSeparator" w:id="0">
    <w:p w14:paraId="24696A66" w14:textId="77777777" w:rsidR="00702E5E" w:rsidRDefault="0070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1D313" w14:textId="77777777" w:rsidR="00702E5E" w:rsidRDefault="00702E5E">
      <w:r>
        <w:separator/>
      </w:r>
    </w:p>
  </w:footnote>
  <w:footnote w:type="continuationSeparator" w:id="0">
    <w:p w14:paraId="1C978186" w14:textId="77777777" w:rsidR="00702E5E" w:rsidRDefault="0070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D270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F84183"/>
    <w:multiLevelType w:val="hybridMultilevel"/>
    <w:tmpl w:val="F3C676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450"/>
    <w:rsid w:val="000A6394"/>
    <w:rsid w:val="000B3FB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F3"/>
    <w:rsid w:val="00305409"/>
    <w:rsid w:val="00355747"/>
    <w:rsid w:val="003609EF"/>
    <w:rsid w:val="0036231A"/>
    <w:rsid w:val="00374DD4"/>
    <w:rsid w:val="003C0E7E"/>
    <w:rsid w:val="003C6778"/>
    <w:rsid w:val="003E1A36"/>
    <w:rsid w:val="00410371"/>
    <w:rsid w:val="004242F1"/>
    <w:rsid w:val="004568F0"/>
    <w:rsid w:val="004B75B7"/>
    <w:rsid w:val="004E23C1"/>
    <w:rsid w:val="0051580D"/>
    <w:rsid w:val="00546F3E"/>
    <w:rsid w:val="00547111"/>
    <w:rsid w:val="00592D74"/>
    <w:rsid w:val="005E01B9"/>
    <w:rsid w:val="005E2C44"/>
    <w:rsid w:val="005E4B12"/>
    <w:rsid w:val="00621188"/>
    <w:rsid w:val="006257ED"/>
    <w:rsid w:val="00642D73"/>
    <w:rsid w:val="00671CB6"/>
    <w:rsid w:val="00695808"/>
    <w:rsid w:val="00696DE2"/>
    <w:rsid w:val="006B0EB1"/>
    <w:rsid w:val="006B46FB"/>
    <w:rsid w:val="006E21FB"/>
    <w:rsid w:val="00702E5E"/>
    <w:rsid w:val="007768CE"/>
    <w:rsid w:val="007849C2"/>
    <w:rsid w:val="00792342"/>
    <w:rsid w:val="007977A8"/>
    <w:rsid w:val="007B512A"/>
    <w:rsid w:val="007C2097"/>
    <w:rsid w:val="007D6A07"/>
    <w:rsid w:val="007E618F"/>
    <w:rsid w:val="007F7259"/>
    <w:rsid w:val="008040A8"/>
    <w:rsid w:val="008142B7"/>
    <w:rsid w:val="008279FA"/>
    <w:rsid w:val="008626E7"/>
    <w:rsid w:val="00870EE7"/>
    <w:rsid w:val="008863B9"/>
    <w:rsid w:val="008A45A6"/>
    <w:rsid w:val="008F686C"/>
    <w:rsid w:val="00912F54"/>
    <w:rsid w:val="009148DE"/>
    <w:rsid w:val="009260A9"/>
    <w:rsid w:val="00941E30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A2CBC"/>
    <w:rsid w:val="00AA782B"/>
    <w:rsid w:val="00AC08C1"/>
    <w:rsid w:val="00AC5820"/>
    <w:rsid w:val="00AD1CD8"/>
    <w:rsid w:val="00AE2A7A"/>
    <w:rsid w:val="00B258BB"/>
    <w:rsid w:val="00B44F13"/>
    <w:rsid w:val="00B67B97"/>
    <w:rsid w:val="00B968C8"/>
    <w:rsid w:val="00BA3EC5"/>
    <w:rsid w:val="00BA51D9"/>
    <w:rsid w:val="00BB5DFC"/>
    <w:rsid w:val="00BD279D"/>
    <w:rsid w:val="00BD6BB8"/>
    <w:rsid w:val="00C66BA2"/>
    <w:rsid w:val="00C72A1E"/>
    <w:rsid w:val="00C95985"/>
    <w:rsid w:val="00CC5026"/>
    <w:rsid w:val="00CC68D0"/>
    <w:rsid w:val="00D03F9A"/>
    <w:rsid w:val="00D06D51"/>
    <w:rsid w:val="00D24991"/>
    <w:rsid w:val="00D50255"/>
    <w:rsid w:val="00D66520"/>
    <w:rsid w:val="00DA365A"/>
    <w:rsid w:val="00DB2114"/>
    <w:rsid w:val="00DE34CF"/>
    <w:rsid w:val="00DE6C48"/>
    <w:rsid w:val="00E13F3D"/>
    <w:rsid w:val="00E34898"/>
    <w:rsid w:val="00E71888"/>
    <w:rsid w:val="00E81CF8"/>
    <w:rsid w:val="00EB09B7"/>
    <w:rsid w:val="00EE7D7C"/>
    <w:rsid w:val="00F25D98"/>
    <w:rsid w:val="00F300FB"/>
    <w:rsid w:val="00F878DB"/>
    <w:rsid w:val="00FB6386"/>
    <w:rsid w:val="00FD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B0E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6B0EB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6B0EB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B0E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3.bin"/><Relationship Id="rId39" Type="http://schemas.openxmlformats.org/officeDocument/2006/relationships/oleObject" Target="embeddings/oleObject11.bin"/><Relationship Id="rId3" Type="http://schemas.openxmlformats.org/officeDocument/2006/relationships/customXml" Target="../customXml/item2.xml"/><Relationship Id="rId21" Type="http://schemas.openxmlformats.org/officeDocument/2006/relationships/image" Target="cid:image005.png@01D70472.CA1DC350" TargetMode="Externa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6.bin"/><Relationship Id="rId50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image" Target="cid:image003.png@01D70472.CA1DC350" TargetMode="External"/><Relationship Id="rId20" Type="http://schemas.openxmlformats.org/officeDocument/2006/relationships/image" Target="media/image4.png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image" Target="media/image8.wmf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1.xml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header" Target="header2.xml"/><Relationship Id="rId8" Type="http://schemas.openxmlformats.org/officeDocument/2006/relationships/settings" Target="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826B0-5C55-46AA-8714-FFC8FD723F7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EE974-BA71-4CB9-B994-12D641F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D50DF-53AE-4208-BE13-7CF795D4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891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2020-10-29T13:18:00Z</dcterms:created>
  <dcterms:modified xsi:type="dcterms:W3CDTF">2021-04-06T15:22:00Z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